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8238476" wp14:textId="65388A68">
      <w:bookmarkStart w:name="_GoBack" w:id="0"/>
      <w:bookmarkEnd w:id="0"/>
      <w:r w:rsidRPr="70194C3C" w:rsidR="70194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Предоставляем Вам информацию по основным финансовым показателям деятельности Фонда по состоянию на 31 декабря 2017 года:</w:t>
      </w:r>
    </w:p>
    <w:p xmlns:wp14="http://schemas.microsoft.com/office/word/2010/wordml" w14:paraId="0E316649" wp14:textId="1EA6760B">
      <w:r w:rsidRPr="70194C3C" w:rsidR="70194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Гарантийный фонд АНО «ФГРП ПО» (МК) с учетом капитализации составляет </w:t>
      </w:r>
      <w:r w:rsidRPr="70194C3C" w:rsidR="70194C3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158 473 494 (Сто пятьдесят восемь миллионов четыреста семьдесят три тысячи четыреста девяносто четыре) рубля 30 копеек</w:t>
      </w:r>
      <w:r w:rsidRPr="70194C3C" w:rsidR="70194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, которые размещены на банковских депозитах. Средняя доходность размещенных средств составляет </w:t>
      </w:r>
      <w:r w:rsidRPr="70194C3C" w:rsidR="70194C3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>8,38%</w:t>
      </w:r>
      <w:r w:rsidRPr="70194C3C" w:rsidR="70194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годовых.</w:t>
      </w:r>
    </w:p>
    <w:p xmlns:wp14="http://schemas.microsoft.com/office/word/2010/wordml" w14:paraId="7B5C5F1C" wp14:textId="50AF4356">
      <w:r w:rsidRPr="70194C3C" w:rsidR="70194C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Аналитическая информация о Гарантийном Фонде и выданных поручительствах представлена в приложениях.</w:t>
      </w:r>
    </w:p>
    <w:p xmlns:wp14="http://schemas.microsoft.com/office/word/2010/wordml" w:rsidP="70194C3C" w14:paraId="2B1CC04C" wp14:textId="6AB51D4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66508-7459-486c-be59-361943fcc5e8}"/>
  <w14:docId w14:val="31CC1D8B"/>
  <w:rsids>
    <w:rsidRoot w:val="31CC1D8B"/>
    <w:rsid w:val="31CC1D8B"/>
    <w:rsid w:val="70194C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2021-03-02T08:23:16.0807276Z</dcterms:created>
  <dcterms:modified xsi:type="dcterms:W3CDTF">2021-03-02T08:23:40.8933522Z</dcterms:modified>
  <dc:creator>yura140299</dc:creator>
  <lastModifiedBy>yura140299</lastModifiedBy>
</coreProperties>
</file>